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9E" w:rsidRPr="00156E1D" w:rsidRDefault="00F72A32" w:rsidP="00156E1D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72A32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tă text 2" o:spid="_x0000_s1026" type="#_x0000_t202" style="position:absolute;left:0;text-align:left;margin-left:113.65pt;margin-top:-9.2pt;width:482.25pt;height:125.35pt;z-index:251658240;visibility:visible" stroked="f">
            <v:textbox style="mso-fit-shape-to-text:t">
              <w:txbxContent>
                <w:p w:rsidR="00E1489E" w:rsidRPr="009E253F" w:rsidRDefault="00E1489E" w:rsidP="00156E1D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it-IT"/>
                    </w:rPr>
                  </w:pPr>
                  <w:r w:rsidRPr="009E253F">
                    <w:rPr>
                      <w:b/>
                      <w:bCs/>
                      <w:sz w:val="20"/>
                      <w:szCs w:val="20"/>
                      <w:lang w:val="it-IT"/>
                    </w:rPr>
                    <w:t>Investe</w:t>
                  </w:r>
                  <w:r w:rsidRPr="009E253F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it-IT"/>
                    </w:rPr>
                    <w:t>ș</w:t>
                  </w:r>
                  <w:r w:rsidRPr="009E253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it-IT"/>
                    </w:rPr>
                    <w:t>te în oameni !</w:t>
                  </w:r>
                </w:p>
                <w:p w:rsidR="00E1489E" w:rsidRPr="009E253F" w:rsidRDefault="00E1489E" w:rsidP="00156E1D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it-IT"/>
                    </w:rPr>
                  </w:pPr>
                  <w:r w:rsidRPr="009E253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it-IT"/>
                    </w:rPr>
                    <w:t>FONDUL SOCIAL EUROPEAN</w:t>
                  </w:r>
                </w:p>
                <w:p w:rsidR="00E1489E" w:rsidRPr="009E253F" w:rsidRDefault="00E1489E" w:rsidP="00156E1D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BR"/>
                    </w:rPr>
                  </w:pPr>
                  <w:r w:rsidRPr="009E253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BR"/>
                    </w:rPr>
                    <w:t>Programul Opera</w:t>
                  </w:r>
                  <w:r w:rsidRPr="009E253F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pt-BR"/>
                    </w:rPr>
                    <w:t>ț</w:t>
                  </w:r>
                  <w:r w:rsidRPr="009E253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BR"/>
                    </w:rPr>
                    <w:t>ional Sectorial Dezvoltarea Resurselor Umane 2007-2013</w:t>
                  </w:r>
                </w:p>
                <w:p w:rsidR="00E1489E" w:rsidRPr="009E253F" w:rsidRDefault="00E1489E" w:rsidP="00156E1D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BR"/>
                    </w:rPr>
                  </w:pPr>
                  <w:r w:rsidRPr="009E253F"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  <w:t xml:space="preserve">Axa prioritară nr.1 </w:t>
                  </w:r>
                  <w:r w:rsidRPr="009E253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BR"/>
                    </w:rPr>
                    <w:t>“Educa</w:t>
                  </w:r>
                  <w:r w:rsidRPr="009E253F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pt-BR"/>
                    </w:rPr>
                    <w:t>ț</w:t>
                  </w:r>
                  <w:r w:rsidRPr="009E253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BR"/>
                    </w:rPr>
                    <w:t xml:space="preserve">ia </w:t>
                  </w:r>
                  <w:r w:rsidRPr="009E253F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pt-BR"/>
                    </w:rPr>
                    <w:t>ș</w:t>
                  </w:r>
                  <w:r w:rsidRPr="009E253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BR"/>
                    </w:rPr>
                    <w:t>i formarea profesională în sprijinul cre</w:t>
                  </w:r>
                  <w:r w:rsidRPr="009E253F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pt-BR"/>
                    </w:rPr>
                    <w:t>ș</w:t>
                  </w:r>
                  <w:r w:rsidRPr="009E253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BR"/>
                    </w:rPr>
                    <w:t xml:space="preserve">terii economice </w:t>
                  </w:r>
                  <w:r w:rsidRPr="009E253F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pt-BR"/>
                    </w:rPr>
                    <w:t>ș</w:t>
                  </w:r>
                  <w:r w:rsidRPr="009E253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BR"/>
                    </w:rPr>
                    <w:t>i dezvoltării societă</w:t>
                  </w:r>
                  <w:r w:rsidRPr="009E253F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pt-BR"/>
                    </w:rPr>
                    <w:t>ț</w:t>
                  </w:r>
                  <w:r w:rsidRPr="009E253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BR"/>
                    </w:rPr>
                    <w:t>ii bazate pe cunoa</w:t>
                  </w:r>
                  <w:r w:rsidRPr="009E253F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pt-BR"/>
                    </w:rPr>
                    <w:t>ș</w:t>
                  </w:r>
                  <w:r w:rsidRPr="009E253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BR"/>
                    </w:rPr>
                    <w:t>tere”</w:t>
                  </w:r>
                </w:p>
                <w:p w:rsidR="00E1489E" w:rsidRPr="009E253F" w:rsidRDefault="00E1489E" w:rsidP="00156E1D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BR"/>
                    </w:rPr>
                  </w:pPr>
                  <w:r w:rsidRPr="009E253F"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  <w:t>Domeniul major de interven</w:t>
                  </w:r>
                  <w:r w:rsidRPr="009E253F"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>ț</w:t>
                  </w:r>
                  <w:r w:rsidRPr="009E253F"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  <w:t>ie 1.1</w:t>
                  </w:r>
                  <w:r w:rsidRPr="009E253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BR"/>
                    </w:rPr>
                    <w:t xml:space="preserve"> “Acces la educa</w:t>
                  </w:r>
                  <w:r w:rsidRPr="009E253F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pt-BR"/>
                    </w:rPr>
                    <w:t>ț</w:t>
                  </w:r>
                  <w:r w:rsidRPr="009E253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BR"/>
                    </w:rPr>
                    <w:t xml:space="preserve">ie </w:t>
                  </w:r>
                  <w:r w:rsidRPr="009E253F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pt-BR"/>
                    </w:rPr>
                    <w:t>ș</w:t>
                  </w:r>
                  <w:r w:rsidRPr="009E253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BR"/>
                    </w:rPr>
                    <w:t>i formare profesională ini</w:t>
                  </w:r>
                  <w:r w:rsidRPr="009E253F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pt-BR"/>
                    </w:rPr>
                    <w:t>ț</w:t>
                  </w:r>
                  <w:r w:rsidRPr="009E253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BR"/>
                    </w:rPr>
                    <w:t>ială de calitate”</w:t>
                  </w:r>
                </w:p>
                <w:p w:rsidR="00E1489E" w:rsidRPr="009E253F" w:rsidRDefault="00E1489E" w:rsidP="00156E1D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BR"/>
                    </w:rPr>
                  </w:pPr>
                  <w:r w:rsidRPr="009E253F"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  <w:t>Titlul proiectului:</w:t>
                  </w:r>
                  <w:r w:rsidRPr="009E253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BR"/>
                    </w:rPr>
                    <w:t xml:space="preserve"> "Să ne pregătim pentru BAC! Program inovator de formare a competenţelor cheie pentru promovarea examenului de bacalaureat"</w:t>
                  </w:r>
                </w:p>
                <w:p w:rsidR="00E1489E" w:rsidRPr="009E253F" w:rsidRDefault="00E1489E" w:rsidP="00156E1D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BR"/>
                    </w:rPr>
                  </w:pPr>
                  <w:r w:rsidRPr="009E253F"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  <w:t>Beneficiar:</w:t>
                  </w:r>
                  <w:r w:rsidRPr="009E253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BR"/>
                    </w:rPr>
                    <w:t xml:space="preserve"> Inspectoratul Şcolar Judeţean Vrancea</w:t>
                  </w:r>
                </w:p>
                <w:p w:rsidR="00E1489E" w:rsidRPr="009E253F" w:rsidRDefault="00E1489E" w:rsidP="00156E1D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BR"/>
                    </w:rPr>
                  </w:pPr>
                  <w:r w:rsidRPr="009E253F"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  <w:t>Contract nr:</w:t>
                  </w:r>
                  <w:r w:rsidRPr="009E253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BR"/>
                    </w:rPr>
                    <w:t xml:space="preserve"> POSDRU/153/1.1/S/138618</w:t>
                  </w:r>
                </w:p>
              </w:txbxContent>
            </v:textbox>
          </v:shape>
        </w:pict>
      </w:r>
    </w:p>
    <w:p w:rsidR="00E1489E" w:rsidRPr="00156E1D" w:rsidRDefault="00E1489E" w:rsidP="00156E1D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1489E" w:rsidRPr="00156E1D" w:rsidRDefault="00E1489E" w:rsidP="00156E1D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1489E" w:rsidRPr="00156E1D" w:rsidRDefault="00E1489E" w:rsidP="00156E1D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1489E" w:rsidRPr="00156E1D" w:rsidRDefault="00E1489E" w:rsidP="00156E1D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1489E" w:rsidRPr="00156E1D" w:rsidRDefault="00E1489E" w:rsidP="00156E1D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1489E" w:rsidRPr="00156E1D" w:rsidRDefault="00E1489E" w:rsidP="00156E1D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1489E" w:rsidRPr="002865E2" w:rsidRDefault="00E1489E" w:rsidP="00AD4EB3">
      <w:pPr>
        <w:pStyle w:val="Heading3"/>
        <w:spacing w:before="0" w:after="0"/>
        <w:rPr>
          <w:sz w:val="23"/>
          <w:szCs w:val="23"/>
          <w:lang w:val="pt-BR"/>
        </w:rPr>
      </w:pPr>
      <w:r w:rsidRPr="002865E2">
        <w:rPr>
          <w:sz w:val="23"/>
          <w:szCs w:val="23"/>
          <w:lang w:val="pt-BR"/>
        </w:rPr>
        <w:tab/>
      </w:r>
      <w:bookmarkStart w:id="0" w:name="_GoBack"/>
      <w:bookmarkEnd w:id="0"/>
    </w:p>
    <w:p w:rsidR="00E1489E" w:rsidRDefault="00E1489E" w:rsidP="00766F60">
      <w:pPr>
        <w:shd w:val="clear" w:color="auto" w:fill="FFFFFF"/>
        <w:spacing w:before="120" w:after="120" w:line="276" w:lineRule="auto"/>
        <w:ind w:left="540" w:hanging="540"/>
        <w:rPr>
          <w:sz w:val="20"/>
          <w:szCs w:val="20"/>
          <w:lang w:val="ro-RO"/>
        </w:rPr>
      </w:pPr>
      <w:r w:rsidRPr="004D217C">
        <w:rPr>
          <w:b/>
          <w:bCs/>
          <w:sz w:val="23"/>
          <w:szCs w:val="23"/>
          <w:lang w:val="ro-RO"/>
        </w:rPr>
        <w:tab/>
      </w:r>
    </w:p>
    <w:p w:rsidR="00E1489E" w:rsidRPr="007F5F84" w:rsidRDefault="00E1489E" w:rsidP="007F5F84">
      <w:pPr>
        <w:shd w:val="clear" w:color="auto" w:fill="FFFFFF"/>
        <w:spacing w:before="120" w:after="120" w:line="276" w:lineRule="auto"/>
        <w:ind w:left="540" w:hanging="540"/>
        <w:jc w:val="center"/>
        <w:rPr>
          <w:sz w:val="32"/>
          <w:szCs w:val="32"/>
          <w:lang w:val="ro-RO"/>
        </w:rPr>
      </w:pPr>
      <w:r w:rsidRPr="007F5F84">
        <w:rPr>
          <w:sz w:val="32"/>
          <w:szCs w:val="32"/>
          <w:lang w:val="ro-RO"/>
        </w:rPr>
        <w:t>Rezultate statistice comparative la Examenul de bacalaureat naţional</w:t>
      </w:r>
    </w:p>
    <w:p w:rsidR="00E1489E" w:rsidRDefault="00E1489E" w:rsidP="007F5F84">
      <w:pPr>
        <w:shd w:val="clear" w:color="auto" w:fill="FFFFFF"/>
        <w:spacing w:before="120" w:after="120" w:line="276" w:lineRule="auto"/>
        <w:ind w:left="540" w:hanging="18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Au fost comparate următoarele tipuri de rezultate (ţinându-se cont de forma de înmatriculare a elevilor înscrişi în grupul ţintă al proiectului şi de disciplinele la care s-au susţinut activităţi în cadrul programului de pregătire suplimentară):</w:t>
      </w:r>
    </w:p>
    <w:p w:rsidR="00E1489E" w:rsidRDefault="00E1489E" w:rsidP="007F5F84">
      <w:pPr>
        <w:numPr>
          <w:ilvl w:val="0"/>
          <w:numId w:val="1"/>
        </w:numPr>
        <w:shd w:val="clear" w:color="auto" w:fill="FFFFFF"/>
        <w:spacing w:before="120" w:after="120"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anul şcolar 2013-2014, absolvenţi din sesia curentă, forma de învăţământ – zi</w:t>
      </w:r>
    </w:p>
    <w:p w:rsidR="00E1489E" w:rsidRDefault="00E1489E" w:rsidP="007F5F84">
      <w:pPr>
        <w:numPr>
          <w:ilvl w:val="0"/>
          <w:numId w:val="1"/>
        </w:numPr>
        <w:shd w:val="clear" w:color="auto" w:fill="FFFFFF"/>
        <w:spacing w:before="120" w:after="120"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anul şcolar 2014-2015, absolvenţi din sesia curentă, forma de învăţământ – zi</w:t>
      </w:r>
    </w:p>
    <w:p w:rsidR="00E1489E" w:rsidRPr="007D1BCD" w:rsidRDefault="00E1489E" w:rsidP="00766F60">
      <w:pPr>
        <w:shd w:val="clear" w:color="auto" w:fill="FFFFFF"/>
        <w:spacing w:before="120" w:after="120" w:line="276" w:lineRule="auto"/>
        <w:ind w:left="540" w:hanging="54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Rezultate pe discipline:</w:t>
      </w:r>
    </w:p>
    <w:tbl>
      <w:tblPr>
        <w:tblW w:w="14665" w:type="dxa"/>
        <w:tblInd w:w="-106" w:type="dxa"/>
        <w:tblLook w:val="0000"/>
      </w:tblPr>
      <w:tblGrid>
        <w:gridCol w:w="947"/>
        <w:gridCol w:w="407"/>
        <w:gridCol w:w="1110"/>
        <w:gridCol w:w="654"/>
        <w:gridCol w:w="1325"/>
        <w:gridCol w:w="1215"/>
        <w:gridCol w:w="1215"/>
        <w:gridCol w:w="1215"/>
        <w:gridCol w:w="1215"/>
        <w:gridCol w:w="1215"/>
        <w:gridCol w:w="1215"/>
        <w:gridCol w:w="1215"/>
        <w:gridCol w:w="1144"/>
        <w:gridCol w:w="908"/>
      </w:tblGrid>
      <w:tr w:rsidR="00E148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Pr="007F5F84" w:rsidRDefault="00E1489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489E" w:rsidRPr="007F5F84" w:rsidRDefault="00E14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 w:rsidRPr="007F5F8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Forma de invatamant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Pr="007F5F84" w:rsidRDefault="00E14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 w:rsidRPr="007F5F8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Disciplina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489E" w:rsidRPr="007F5F84" w:rsidRDefault="00E14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 w:rsidRPr="007F5F8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Candidati inscrisi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489E" w:rsidRPr="007F5F84" w:rsidRDefault="00E14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 w:rsidRPr="007F5F8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Candidati reusiti</w:t>
            </w:r>
          </w:p>
        </w:tc>
        <w:tc>
          <w:tcPr>
            <w:tcW w:w="738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Pr="007F5F84" w:rsidRDefault="00E14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 w:rsidRPr="007F5F8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Din care cu note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Numar de candidati respinsi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Numar candidati neprezentati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Numar candidati eliminati</w:t>
            </w:r>
          </w:p>
        </w:tc>
      </w:tr>
      <w:tr w:rsidR="00E148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8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148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8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1489E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5 - 5.99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Incepator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Calif.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6 - 6.99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Mediu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7 - 7.99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Avansat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8 - 8.99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Experim.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9 - 9.99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148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8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Limba română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 (85,73%)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 (30,74%)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 (21,81%)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 (18,53%)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 (17,44%)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 (10,87%)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(0,24%)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 (14,27%)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(3,27%)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  <w:tr w:rsidR="00E148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Limba română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 (94,62%)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 (15,67%)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 (16,28%)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 (20,94%)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 (25,76%)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 (19,56%)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(1,79%)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(5,33%)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(1,81%)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(0,05%)</w:t>
            </w:r>
          </w:p>
        </w:tc>
      </w:tr>
      <w:tr w:rsidR="00E148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8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Istorie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 (95,15%)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(24,28%)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 (20,88%)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 (20,03%)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(16,81%)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(14,77%)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(3,06%)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(4,85%)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(1,12%)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  <w:tr w:rsidR="00E148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Istorie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 (98,53%)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(16,22%)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(16,37%)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(19,49%)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 (23,96%)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 (19,35%)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(4,61%)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(1,47%)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(1,3%)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  <w:tr w:rsidR="00E148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8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Matematică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 (81,26%)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 (12,33%)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 (13,95%)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 (15,46%)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 (18,03%)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 (31,31%)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(7,97%)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 (18,74%)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(4,56%)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  <w:tr w:rsidR="00E148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Matematică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 (83,88%)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 (10,56%)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(11%)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 (16,45%)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 (19,74%)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 (29,26%)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(12,99%)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 (16,12%)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(2,41%)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  <w:tr w:rsidR="00E148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8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Biologie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 (65,87%)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(31,25%)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(20,31%)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(15,89%)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(12,5%)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(16,15%)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(1,56%)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 (34,13%)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(5,66%)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  <w:tr w:rsidR="00E148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Biologie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 (71,35%)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(22,69%)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(19,2%)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(15,46%)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(20,95%)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(20,2%)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(1,5%)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 (28,65%)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(3,77%)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  <w:tr w:rsidR="00E148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8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Chimie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(89,51%)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(17,19%)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(14,84%)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(10,94%)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(17,97%)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(30,47%)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(8,59%)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(10,49%)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(2,72%)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  <w:tr w:rsidR="00E148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Chimie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 (93,05%)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(16,09%)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(12,64%)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(18,39%)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(16,67%)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(31,03%)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(5,17%)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(6,95%)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(1,58%)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  <w:tr w:rsidR="00E148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8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Economie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(100%)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(6,9%)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(6,9%)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(17,24%)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(34,48%)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(27,59%)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(6,9%)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  <w:tr w:rsidR="00E148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Economie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(100%)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(4%)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(8%)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(12%)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(12%)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(56%)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(8%)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  <w:tr w:rsidR="00E148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8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Fizică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 (90%)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(12,04%)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(10,19%)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(19,44%)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(23,15%)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(32,41%)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(2,78%)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(10%)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(4,76%)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  <w:tr w:rsidR="00E148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Fizică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 (97,48%)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(12,9%)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(12,9%)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(10,97%)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(17,42%)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(30,97%)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(14,84%)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(2,52%)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  <w:tr w:rsidR="00E148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8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Geografie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 (97,31%)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(4,32%)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(8,19%)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 (20,6%)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 (34,99%)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 (30,01%)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(2,21%)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(2,69%)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(2,01%)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  <w:tr w:rsidR="00E148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Geografie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 (98,27%)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(7,15%)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(9,12%)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 (16,48%)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 (32,33%)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 (32,54%)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(2,38%)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(1,73%)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(2%)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  <w:tr w:rsidR="00E148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8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Informatică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(100%)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(11,11%)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(11,11%)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(35,19%)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(40,74%)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(1,85%)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  <w:tr w:rsidR="00E148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Informatică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(97,87%)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(6,52%)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(15,22%)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(4,35%)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(32,61%)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(39,13%)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(2,17%)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(2,13%)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</w:tbl>
    <w:p w:rsidR="00E1489E" w:rsidRPr="009B6EC3" w:rsidRDefault="00E1489E" w:rsidP="009B6EC3"/>
    <w:p w:rsidR="00E1489E" w:rsidRDefault="00E1489E" w:rsidP="007D1BCD">
      <w:pPr>
        <w:ind w:left="-567"/>
      </w:pPr>
      <w:r>
        <w:tab/>
      </w:r>
    </w:p>
    <w:p w:rsidR="00E1489E" w:rsidRPr="006E6C07" w:rsidRDefault="00E1489E" w:rsidP="007D1BCD">
      <w:pPr>
        <w:ind w:left="-567"/>
        <w:rPr>
          <w:sz w:val="28"/>
          <w:szCs w:val="28"/>
        </w:rPr>
      </w:pPr>
      <w:r>
        <w:tab/>
      </w:r>
      <w:r w:rsidRPr="006E6C07">
        <w:rPr>
          <w:sz w:val="28"/>
          <w:szCs w:val="28"/>
        </w:rPr>
        <w:t>Rezultate generale :</w:t>
      </w:r>
    </w:p>
    <w:p w:rsidR="00E1489E" w:rsidRDefault="00E1489E" w:rsidP="007D1BCD">
      <w:pPr>
        <w:ind w:left="-567"/>
      </w:pPr>
    </w:p>
    <w:tbl>
      <w:tblPr>
        <w:tblW w:w="15928" w:type="dxa"/>
        <w:tblInd w:w="-106" w:type="dxa"/>
        <w:tblLook w:val="0000"/>
      </w:tblPr>
      <w:tblGrid>
        <w:gridCol w:w="1061"/>
        <w:gridCol w:w="860"/>
        <w:gridCol w:w="1343"/>
        <w:gridCol w:w="1159"/>
        <w:gridCol w:w="917"/>
        <w:gridCol w:w="1231"/>
        <w:gridCol w:w="1231"/>
        <w:gridCol w:w="1120"/>
        <w:gridCol w:w="1343"/>
        <w:gridCol w:w="1231"/>
        <w:gridCol w:w="1231"/>
        <w:gridCol w:w="1231"/>
        <w:gridCol w:w="1231"/>
        <w:gridCol w:w="917"/>
      </w:tblGrid>
      <w:tr w:rsidR="00E148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89E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Forma de invatamant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Nr elevi inscrisi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Nr. elevi prezenti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Nr. elevi neprezentati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Nr. elevi eliminati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Numar de candidati respinsi</w:t>
            </w:r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Din care cu medii: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Nr. elevi reusiti</w:t>
            </w:r>
          </w:p>
        </w:tc>
        <w:tc>
          <w:tcPr>
            <w:tcW w:w="582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Din care cu medii:</w:t>
            </w:r>
          </w:p>
        </w:tc>
      </w:tr>
      <w:tr w:rsidR="00E1489E">
        <w:trPr>
          <w:trHeight w:val="255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2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1489E">
        <w:trPr>
          <w:trHeight w:val="255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&lt; 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5 - 5.99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2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1489E">
        <w:trPr>
          <w:trHeight w:val="255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6 - 6.99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7 - 7.99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8 - 8.99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9 - 9.99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E1489E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1881 (94,76%)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(5,24%)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 (27,91%)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 (84,19%)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(15,81%)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1356 (72,09%)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 (21,24%)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 (29,94%)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 (31,56%)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 (17,18%)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(0,07%)</w:t>
            </w:r>
          </w:p>
        </w:tc>
      </w:tr>
      <w:tr w:rsidR="00E1489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1914 (93,27%)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 (6,73%)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 (29%)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 (85,05%)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(14,95%)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 (71%)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 (21,27%)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 (29,87%)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 (31,57%)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 (17,22%)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(0,07%)</w:t>
            </w:r>
          </w:p>
        </w:tc>
      </w:tr>
      <w:tr w:rsidR="00E148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8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89E" w:rsidRDefault="00E14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89E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Forma de invatamant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Nr elevi inscrisi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Nr. elevi prezenti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Nr. elevi neprezentati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Nr. elevi eliminati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Numar de candidati respinsi</w:t>
            </w:r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Din care cu medii: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Nr. elevi reusiti</w:t>
            </w:r>
          </w:p>
        </w:tc>
        <w:tc>
          <w:tcPr>
            <w:tcW w:w="582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Din care cu medii:</w:t>
            </w:r>
          </w:p>
        </w:tc>
      </w:tr>
      <w:tr w:rsidR="00E1489E">
        <w:trPr>
          <w:trHeight w:val="255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2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1489E">
        <w:trPr>
          <w:trHeight w:val="255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&lt; 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5 - 5.99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2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1489E">
        <w:trPr>
          <w:trHeight w:val="255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6 - 6.99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7 - 7.99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8 - 8.99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9 - 9.99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89E" w:rsidRDefault="00E14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E1489E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2102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2035 (96,81%)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(3,19%)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(0,05%)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 (19,46%)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 (78,79%)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(21,21%)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 (80,49%)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 (15,93%)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 (23,32%)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 (32,91%)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 (27,66%)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(0,18%)</w:t>
            </w:r>
          </w:p>
        </w:tc>
      </w:tr>
      <w:tr w:rsidR="00E1489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 (96,78%)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(3,22%)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(0,05%)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 (19,77%)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 (79,21%)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(20,79%)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1639 (80,19%)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 (15,92%)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 (23,37%)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 (32,89%)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 (27,64%)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489E" w:rsidRDefault="00E1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(0,18%)</w:t>
            </w:r>
          </w:p>
        </w:tc>
      </w:tr>
    </w:tbl>
    <w:p w:rsidR="00E1489E" w:rsidRDefault="00E1489E" w:rsidP="007D1BCD">
      <w:pPr>
        <w:ind w:left="-567"/>
      </w:pPr>
    </w:p>
    <w:p w:rsidR="00E1489E" w:rsidRDefault="00E1489E" w:rsidP="00AD4EB3">
      <w:pPr>
        <w:pStyle w:val="Default"/>
        <w:tabs>
          <w:tab w:val="left" w:pos="7095"/>
        </w:tabs>
      </w:pPr>
    </w:p>
    <w:sectPr w:rsidR="00E1489E" w:rsidSect="00846FAD">
      <w:headerReference w:type="default" r:id="rId7"/>
      <w:pgSz w:w="16838" w:h="11906" w:orient="landscape"/>
      <w:pgMar w:top="1417" w:right="1440" w:bottom="1417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215" w:rsidRDefault="00347215" w:rsidP="00156E1D">
      <w:r>
        <w:separator/>
      </w:r>
    </w:p>
  </w:endnote>
  <w:endnote w:type="continuationSeparator" w:id="1">
    <w:p w:rsidR="00347215" w:rsidRDefault="00347215" w:rsidP="00156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215" w:rsidRDefault="00347215" w:rsidP="00156E1D">
      <w:r>
        <w:separator/>
      </w:r>
    </w:p>
  </w:footnote>
  <w:footnote w:type="continuationSeparator" w:id="1">
    <w:p w:rsidR="00347215" w:rsidRDefault="00347215" w:rsidP="00156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89E" w:rsidRDefault="00FE3169" w:rsidP="00341449">
    <w:pPr>
      <w:pStyle w:val="Header"/>
      <w:ind w:left="2124"/>
    </w:pPr>
    <w:r>
      <w:rPr>
        <w:noProof/>
        <w:lang w:val="en-US"/>
      </w:rPr>
      <w:drawing>
        <wp:inline distT="0" distB="0" distL="0" distR="0">
          <wp:extent cx="6421755" cy="977900"/>
          <wp:effectExtent l="19050" t="0" r="0" b="0"/>
          <wp:docPr id="1" name="Imagine 3" descr="Sigl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 descr="Sigla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1755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F2939"/>
    <w:multiLevelType w:val="hybridMultilevel"/>
    <w:tmpl w:val="A5624C6E"/>
    <w:lvl w:ilvl="0" w:tplc="9CD87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56E1D"/>
    <w:rsid w:val="000002C9"/>
    <w:rsid w:val="0000658C"/>
    <w:rsid w:val="00034E2F"/>
    <w:rsid w:val="00037DFC"/>
    <w:rsid w:val="0004731F"/>
    <w:rsid w:val="000819B4"/>
    <w:rsid w:val="000821FF"/>
    <w:rsid w:val="00086BA3"/>
    <w:rsid w:val="00091395"/>
    <w:rsid w:val="000B6DAF"/>
    <w:rsid w:val="000C7B85"/>
    <w:rsid w:val="000D08D0"/>
    <w:rsid w:val="000F03ED"/>
    <w:rsid w:val="000F0D18"/>
    <w:rsid w:val="000F5E4F"/>
    <w:rsid w:val="001219AB"/>
    <w:rsid w:val="00122754"/>
    <w:rsid w:val="00151856"/>
    <w:rsid w:val="00156E1D"/>
    <w:rsid w:val="00163B3E"/>
    <w:rsid w:val="00177F0E"/>
    <w:rsid w:val="00181F11"/>
    <w:rsid w:val="00183DB2"/>
    <w:rsid w:val="001869B0"/>
    <w:rsid w:val="001C39DD"/>
    <w:rsid w:val="001F1365"/>
    <w:rsid w:val="00204502"/>
    <w:rsid w:val="00211F27"/>
    <w:rsid w:val="00213B6F"/>
    <w:rsid w:val="002242C1"/>
    <w:rsid w:val="002320C1"/>
    <w:rsid w:val="002445B2"/>
    <w:rsid w:val="002447E7"/>
    <w:rsid w:val="002515CA"/>
    <w:rsid w:val="00263FA0"/>
    <w:rsid w:val="0027187E"/>
    <w:rsid w:val="00281F0D"/>
    <w:rsid w:val="00285EF4"/>
    <w:rsid w:val="002865E2"/>
    <w:rsid w:val="00291728"/>
    <w:rsid w:val="00291EB5"/>
    <w:rsid w:val="002A33C8"/>
    <w:rsid w:val="002B0919"/>
    <w:rsid w:val="002B1CF9"/>
    <w:rsid w:val="002C0946"/>
    <w:rsid w:val="002C1F56"/>
    <w:rsid w:val="002C244B"/>
    <w:rsid w:val="002C2AB5"/>
    <w:rsid w:val="002D52E6"/>
    <w:rsid w:val="002F1F91"/>
    <w:rsid w:val="002F7FDB"/>
    <w:rsid w:val="00315A27"/>
    <w:rsid w:val="00341449"/>
    <w:rsid w:val="00347215"/>
    <w:rsid w:val="00350584"/>
    <w:rsid w:val="00351687"/>
    <w:rsid w:val="003600F6"/>
    <w:rsid w:val="00363491"/>
    <w:rsid w:val="00370AB8"/>
    <w:rsid w:val="00382436"/>
    <w:rsid w:val="003842BA"/>
    <w:rsid w:val="00386AE2"/>
    <w:rsid w:val="0038751F"/>
    <w:rsid w:val="00396077"/>
    <w:rsid w:val="003A069D"/>
    <w:rsid w:val="003A35AA"/>
    <w:rsid w:val="003A4102"/>
    <w:rsid w:val="003A67EA"/>
    <w:rsid w:val="003C1B2C"/>
    <w:rsid w:val="003D4B74"/>
    <w:rsid w:val="003E6D10"/>
    <w:rsid w:val="00400F8D"/>
    <w:rsid w:val="00406DAB"/>
    <w:rsid w:val="00420690"/>
    <w:rsid w:val="00423B8E"/>
    <w:rsid w:val="00425A2F"/>
    <w:rsid w:val="00427DDB"/>
    <w:rsid w:val="00432613"/>
    <w:rsid w:val="0046119C"/>
    <w:rsid w:val="0046238A"/>
    <w:rsid w:val="00491FCF"/>
    <w:rsid w:val="00495B8B"/>
    <w:rsid w:val="00497769"/>
    <w:rsid w:val="004A271C"/>
    <w:rsid w:val="004B6A79"/>
    <w:rsid w:val="004B791D"/>
    <w:rsid w:val="004D0243"/>
    <w:rsid w:val="004D217C"/>
    <w:rsid w:val="004D61E8"/>
    <w:rsid w:val="004E4BB6"/>
    <w:rsid w:val="004F73CC"/>
    <w:rsid w:val="00500F73"/>
    <w:rsid w:val="00510228"/>
    <w:rsid w:val="00515BF6"/>
    <w:rsid w:val="00526398"/>
    <w:rsid w:val="0053766D"/>
    <w:rsid w:val="005626C3"/>
    <w:rsid w:val="00563338"/>
    <w:rsid w:val="00570CED"/>
    <w:rsid w:val="0057386F"/>
    <w:rsid w:val="00586D44"/>
    <w:rsid w:val="005900CD"/>
    <w:rsid w:val="0059112F"/>
    <w:rsid w:val="005915D2"/>
    <w:rsid w:val="0059446C"/>
    <w:rsid w:val="005A3A54"/>
    <w:rsid w:val="005A6908"/>
    <w:rsid w:val="005C509A"/>
    <w:rsid w:val="005D2DAE"/>
    <w:rsid w:val="005D3818"/>
    <w:rsid w:val="005E1513"/>
    <w:rsid w:val="005E73C7"/>
    <w:rsid w:val="005F3980"/>
    <w:rsid w:val="005F445E"/>
    <w:rsid w:val="006070E0"/>
    <w:rsid w:val="00623FF7"/>
    <w:rsid w:val="00630F28"/>
    <w:rsid w:val="00634E75"/>
    <w:rsid w:val="00647204"/>
    <w:rsid w:val="00652DCA"/>
    <w:rsid w:val="006A0A2B"/>
    <w:rsid w:val="006A1889"/>
    <w:rsid w:val="006A1F54"/>
    <w:rsid w:val="006B1E60"/>
    <w:rsid w:val="006B5FE4"/>
    <w:rsid w:val="006C4975"/>
    <w:rsid w:val="006C7023"/>
    <w:rsid w:val="006E0E23"/>
    <w:rsid w:val="006E6C07"/>
    <w:rsid w:val="006F3CD5"/>
    <w:rsid w:val="00713F59"/>
    <w:rsid w:val="00724CB0"/>
    <w:rsid w:val="0072688C"/>
    <w:rsid w:val="00727EF4"/>
    <w:rsid w:val="00744175"/>
    <w:rsid w:val="00766F60"/>
    <w:rsid w:val="00767DC4"/>
    <w:rsid w:val="00770929"/>
    <w:rsid w:val="00783769"/>
    <w:rsid w:val="00785400"/>
    <w:rsid w:val="007A2841"/>
    <w:rsid w:val="007B5702"/>
    <w:rsid w:val="007B7BA8"/>
    <w:rsid w:val="007C5682"/>
    <w:rsid w:val="007D1BCD"/>
    <w:rsid w:val="007D42D1"/>
    <w:rsid w:val="007D67FA"/>
    <w:rsid w:val="007F423E"/>
    <w:rsid w:val="007F5F84"/>
    <w:rsid w:val="00807557"/>
    <w:rsid w:val="00825224"/>
    <w:rsid w:val="00846D10"/>
    <w:rsid w:val="00846FAD"/>
    <w:rsid w:val="00850900"/>
    <w:rsid w:val="008569BF"/>
    <w:rsid w:val="0086529E"/>
    <w:rsid w:val="00890C3B"/>
    <w:rsid w:val="008A4F55"/>
    <w:rsid w:val="008B04FF"/>
    <w:rsid w:val="008B70AD"/>
    <w:rsid w:val="008C3937"/>
    <w:rsid w:val="008C4D1F"/>
    <w:rsid w:val="008C5EBB"/>
    <w:rsid w:val="008D2FD0"/>
    <w:rsid w:val="008F06A0"/>
    <w:rsid w:val="008F4D30"/>
    <w:rsid w:val="008F6282"/>
    <w:rsid w:val="008F6294"/>
    <w:rsid w:val="00913415"/>
    <w:rsid w:val="00920E6D"/>
    <w:rsid w:val="00933C46"/>
    <w:rsid w:val="00934CC2"/>
    <w:rsid w:val="009422FD"/>
    <w:rsid w:val="00955D3C"/>
    <w:rsid w:val="00962F6E"/>
    <w:rsid w:val="00970DFE"/>
    <w:rsid w:val="00972CD2"/>
    <w:rsid w:val="009A6919"/>
    <w:rsid w:val="009B6EC3"/>
    <w:rsid w:val="009C02A6"/>
    <w:rsid w:val="009D728A"/>
    <w:rsid w:val="009E1326"/>
    <w:rsid w:val="009E253F"/>
    <w:rsid w:val="009E706B"/>
    <w:rsid w:val="00A01C6F"/>
    <w:rsid w:val="00A10D93"/>
    <w:rsid w:val="00A14A7B"/>
    <w:rsid w:val="00A2503E"/>
    <w:rsid w:val="00A25202"/>
    <w:rsid w:val="00A33BDD"/>
    <w:rsid w:val="00A37551"/>
    <w:rsid w:val="00A4033E"/>
    <w:rsid w:val="00A41BCF"/>
    <w:rsid w:val="00A62A67"/>
    <w:rsid w:val="00A718D3"/>
    <w:rsid w:val="00A7272C"/>
    <w:rsid w:val="00AA1DD9"/>
    <w:rsid w:val="00AA5B00"/>
    <w:rsid w:val="00AD1BB6"/>
    <w:rsid w:val="00AD273D"/>
    <w:rsid w:val="00AD3945"/>
    <w:rsid w:val="00AD4EB3"/>
    <w:rsid w:val="00AE0601"/>
    <w:rsid w:val="00B16244"/>
    <w:rsid w:val="00B25499"/>
    <w:rsid w:val="00B33D19"/>
    <w:rsid w:val="00B51949"/>
    <w:rsid w:val="00B527EF"/>
    <w:rsid w:val="00BA20DD"/>
    <w:rsid w:val="00BD79EC"/>
    <w:rsid w:val="00BE0BCD"/>
    <w:rsid w:val="00C15586"/>
    <w:rsid w:val="00C23479"/>
    <w:rsid w:val="00C83341"/>
    <w:rsid w:val="00C85007"/>
    <w:rsid w:val="00CA003F"/>
    <w:rsid w:val="00CC2AB6"/>
    <w:rsid w:val="00CD1298"/>
    <w:rsid w:val="00CD1316"/>
    <w:rsid w:val="00CD4031"/>
    <w:rsid w:val="00D27216"/>
    <w:rsid w:val="00D56BBE"/>
    <w:rsid w:val="00D61E94"/>
    <w:rsid w:val="00D63351"/>
    <w:rsid w:val="00D804C8"/>
    <w:rsid w:val="00D83358"/>
    <w:rsid w:val="00D8500B"/>
    <w:rsid w:val="00D9344D"/>
    <w:rsid w:val="00D93B0F"/>
    <w:rsid w:val="00D94029"/>
    <w:rsid w:val="00D94C67"/>
    <w:rsid w:val="00DB23B7"/>
    <w:rsid w:val="00DB4D3D"/>
    <w:rsid w:val="00DD3065"/>
    <w:rsid w:val="00DD7F20"/>
    <w:rsid w:val="00DE7260"/>
    <w:rsid w:val="00E060F7"/>
    <w:rsid w:val="00E1317F"/>
    <w:rsid w:val="00E1489E"/>
    <w:rsid w:val="00E35E29"/>
    <w:rsid w:val="00E563CD"/>
    <w:rsid w:val="00E82552"/>
    <w:rsid w:val="00EA4704"/>
    <w:rsid w:val="00EA5D81"/>
    <w:rsid w:val="00EC0176"/>
    <w:rsid w:val="00EE2BE7"/>
    <w:rsid w:val="00EF7FD0"/>
    <w:rsid w:val="00F11825"/>
    <w:rsid w:val="00F1256F"/>
    <w:rsid w:val="00F23F4D"/>
    <w:rsid w:val="00F23F72"/>
    <w:rsid w:val="00F26DB4"/>
    <w:rsid w:val="00F3493B"/>
    <w:rsid w:val="00F42A74"/>
    <w:rsid w:val="00F4739F"/>
    <w:rsid w:val="00F5106D"/>
    <w:rsid w:val="00F70840"/>
    <w:rsid w:val="00F710A5"/>
    <w:rsid w:val="00F7138E"/>
    <w:rsid w:val="00F72A32"/>
    <w:rsid w:val="00F847BB"/>
    <w:rsid w:val="00F902F4"/>
    <w:rsid w:val="00FA38EB"/>
    <w:rsid w:val="00FB2634"/>
    <w:rsid w:val="00FB374B"/>
    <w:rsid w:val="00FB4722"/>
    <w:rsid w:val="00FB7934"/>
    <w:rsid w:val="00FD03E0"/>
    <w:rsid w:val="00FD4448"/>
    <w:rsid w:val="00FD4FDB"/>
    <w:rsid w:val="00FE0F8B"/>
    <w:rsid w:val="00FE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A0"/>
    <w:rPr>
      <w:sz w:val="24"/>
      <w:szCs w:val="24"/>
      <w:lang w:val="fr-F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06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8F06A0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F06A0"/>
    <w:rPr>
      <w:rFonts w:ascii="Arial" w:hAnsi="Arial" w:cs="Arial"/>
      <w:b/>
      <w:bCs/>
      <w:i/>
      <w:iCs/>
      <w:sz w:val="28"/>
      <w:szCs w:val="28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F06A0"/>
    <w:rPr>
      <w:b/>
      <w:bCs/>
      <w:sz w:val="27"/>
      <w:szCs w:val="27"/>
      <w:lang w:val="en-US" w:eastAsia="en-US"/>
    </w:rPr>
  </w:style>
  <w:style w:type="paragraph" w:customStyle="1" w:styleId="Default">
    <w:name w:val="Default"/>
    <w:uiPriority w:val="99"/>
    <w:rsid w:val="00156E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156E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6E1D"/>
    <w:rPr>
      <w:sz w:val="24"/>
      <w:szCs w:val="24"/>
      <w:lang w:val="fr-FR" w:eastAsia="en-US"/>
    </w:rPr>
  </w:style>
  <w:style w:type="paragraph" w:styleId="Footer">
    <w:name w:val="footer"/>
    <w:basedOn w:val="Normal"/>
    <w:link w:val="FooterChar"/>
    <w:uiPriority w:val="99"/>
    <w:semiHidden/>
    <w:rsid w:val="00156E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6E1D"/>
    <w:rPr>
      <w:sz w:val="24"/>
      <w:szCs w:val="24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56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E1D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712</Words>
  <Characters>3848</Characters>
  <Application>Microsoft Office Word</Application>
  <DocSecurity>0</DocSecurity>
  <Lines>76</Lines>
  <Paragraphs>9</Paragraphs>
  <ScaleCrop>false</ScaleCrop>
  <Company>Grizli777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ionita</dc:creator>
  <cp:lastModifiedBy>Silvia</cp:lastModifiedBy>
  <cp:revision>2</cp:revision>
  <cp:lastPrinted>2014-10-23T09:15:00Z</cp:lastPrinted>
  <dcterms:created xsi:type="dcterms:W3CDTF">2015-08-21T13:28:00Z</dcterms:created>
  <dcterms:modified xsi:type="dcterms:W3CDTF">2015-08-21T13:28:00Z</dcterms:modified>
</cp:coreProperties>
</file>