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COMUNICAT DE PRESĂ</w:t>
      </w:r>
    </w:p>
    <w:p w:rsidR="00000000" w:rsidDel="00000000" w:rsidP="00000000" w:rsidRDefault="00000000" w:rsidRPr="00000000" w14:paraId="00000004">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5">
      <w:pPr>
        <w:spacing w:after="0" w:line="276"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Simularea probelor scrise ale examenului de Evaluare Națională 2025-2026</w:t>
      </w:r>
      <w:r w:rsidDel="00000000" w:rsidR="00000000" w:rsidRPr="00000000">
        <w:rPr>
          <w:rtl w:val="0"/>
        </w:rPr>
      </w:r>
    </w:p>
    <w:p w:rsidR="00000000" w:rsidDel="00000000" w:rsidP="00000000" w:rsidRDefault="00000000" w:rsidRPr="00000000" w14:paraId="00000006">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simularea probelor scrise ale examenului de Evaluare Națională au fost înscriși 2.775 de elevi din cele 93 de unități de învățământ preuniversitar din județul Vrancea care școlarizează elevi de clasa a VIII-a.</w:t>
      </w:r>
    </w:p>
    <w:p w:rsidR="00000000" w:rsidDel="00000000" w:rsidP="00000000" w:rsidRDefault="00000000" w:rsidRPr="00000000" w14:paraId="00000008">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proba scrisă de Limba și literatura română, desfășurată în data de 16.03.2026, au fost prezenți 2.585 de elevi, iar la proba scrisă de Matematică, desfășurată în data de 17.03.2026, au fost prezenți 2.561 de elevi.</w:t>
      </w:r>
    </w:p>
    <w:p w:rsidR="00000000" w:rsidDel="00000000" w:rsidP="00000000" w:rsidRDefault="00000000" w:rsidRPr="00000000" w14:paraId="00000009">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Pentru evaluarea digitalizată a lucrărilor s-au înscris 89 de profesori evaluatori.</w:t>
      </w:r>
    </w:p>
    <w:p w:rsidR="00000000" w:rsidDel="00000000" w:rsidP="00000000" w:rsidRDefault="00000000" w:rsidRPr="00000000" w14:paraId="0000000A">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Rezultatele simulărilor vor fi comunicate în data de 30.03.2026. Acestea nu se contestă, nu se afișează, nu se fac publice, ci se comunică individual. Beneficiile simulărilor sunt pedagogice, astfel încât elevii să se familiarizeze cu rigorile unui examen real, să identifice ariile în care au nevoie de consolidare și să își optimizeze pregătirea pentru examen.</w:t>
      </w:r>
    </w:p>
    <w:p w:rsidR="00000000" w:rsidDel="00000000" w:rsidP="00000000" w:rsidRDefault="00000000" w:rsidRPr="00000000" w14:paraId="0000000B">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Calendarul examenului de Evaluare Națională – 2026</w:t>
      </w:r>
    </w:p>
    <w:p w:rsidR="00000000" w:rsidDel="00000000" w:rsidP="00000000" w:rsidRDefault="00000000" w:rsidRPr="00000000" w14:paraId="0000000C">
      <w:pPr>
        <w:numPr>
          <w:ilvl w:val="0"/>
          <w:numId w:val="1"/>
        </w:numPr>
        <w:tabs>
          <w:tab w:val="left" w:leader="none" w:pos="1170"/>
          <w:tab w:val="left" w:leader="none" w:pos="1260"/>
        </w:tabs>
        <w:spacing w:after="0" w:line="276" w:lineRule="auto"/>
        <w:ind w:left="720" w:firstLine="360"/>
        <w:jc w:val="both"/>
        <w:rPr/>
      </w:pPr>
      <w:r w:rsidDel="00000000" w:rsidR="00000000" w:rsidRPr="00000000">
        <w:rPr>
          <w:rFonts w:ascii="Times New Roman" w:cs="Times New Roman" w:eastAsia="Times New Roman" w:hAnsi="Times New Roman"/>
          <w:rtl w:val="0"/>
        </w:rPr>
        <w:t xml:space="preserve">8-12 iunie 2026: Înscrierea elevilor</w:t>
      </w:r>
    </w:p>
    <w:p w:rsidR="00000000" w:rsidDel="00000000" w:rsidP="00000000" w:rsidRDefault="00000000" w:rsidRPr="00000000" w14:paraId="0000000D">
      <w:pPr>
        <w:numPr>
          <w:ilvl w:val="0"/>
          <w:numId w:val="1"/>
        </w:numPr>
        <w:tabs>
          <w:tab w:val="left" w:leader="none" w:pos="1170"/>
          <w:tab w:val="left" w:leader="none" w:pos="1260"/>
        </w:tabs>
        <w:spacing w:after="0" w:line="276" w:lineRule="auto"/>
        <w:ind w:left="720" w:firstLine="360"/>
        <w:jc w:val="both"/>
        <w:rPr/>
      </w:pPr>
      <w:r w:rsidDel="00000000" w:rsidR="00000000" w:rsidRPr="00000000">
        <w:rPr>
          <w:rFonts w:ascii="Times New Roman" w:cs="Times New Roman" w:eastAsia="Times New Roman" w:hAnsi="Times New Roman"/>
          <w:rtl w:val="0"/>
        </w:rPr>
        <w:t xml:space="preserve">22 iunie 2026: Limba și literatura română – probă scrisă</w:t>
      </w:r>
    </w:p>
    <w:p w:rsidR="00000000" w:rsidDel="00000000" w:rsidP="00000000" w:rsidRDefault="00000000" w:rsidRPr="00000000" w14:paraId="0000000E">
      <w:pPr>
        <w:numPr>
          <w:ilvl w:val="0"/>
          <w:numId w:val="1"/>
        </w:numPr>
        <w:tabs>
          <w:tab w:val="left" w:leader="none" w:pos="1170"/>
          <w:tab w:val="left" w:leader="none" w:pos="1260"/>
        </w:tabs>
        <w:spacing w:after="0" w:line="276" w:lineRule="auto"/>
        <w:ind w:left="720" w:firstLine="360"/>
        <w:jc w:val="both"/>
        <w:rPr/>
      </w:pPr>
      <w:r w:rsidDel="00000000" w:rsidR="00000000" w:rsidRPr="00000000">
        <w:rPr>
          <w:rFonts w:ascii="Times New Roman" w:cs="Times New Roman" w:eastAsia="Times New Roman" w:hAnsi="Times New Roman"/>
          <w:rtl w:val="0"/>
        </w:rPr>
        <w:t xml:space="preserve">24  iunie 2026: Matematică – probă scrisă</w:t>
      </w:r>
    </w:p>
    <w:p w:rsidR="00000000" w:rsidDel="00000000" w:rsidP="00000000" w:rsidRDefault="00000000" w:rsidRPr="00000000" w14:paraId="0000000F">
      <w:pPr>
        <w:numPr>
          <w:ilvl w:val="0"/>
          <w:numId w:val="1"/>
        </w:numPr>
        <w:tabs>
          <w:tab w:val="left" w:leader="none" w:pos="720"/>
          <w:tab w:val="left" w:leader="none" w:pos="1260"/>
        </w:tabs>
        <w:spacing w:after="0" w:line="276" w:lineRule="auto"/>
        <w:ind w:left="0" w:firstLine="1080"/>
        <w:jc w:val="both"/>
        <w:rPr/>
      </w:pPr>
      <w:r w:rsidDel="00000000" w:rsidR="00000000" w:rsidRPr="00000000">
        <w:rPr>
          <w:rFonts w:ascii="Times New Roman" w:cs="Times New Roman" w:eastAsia="Times New Roman" w:hAnsi="Times New Roman"/>
          <w:rtl w:val="0"/>
        </w:rPr>
        <w:t xml:space="preserve">1 iulie 2026 : Afișarea rezultatelor inițiale (până la ora 12:00), vizualizarea lucrărilor scrise și depunerea contestațiilor (în intervalul orar 14:00-18:00)</w:t>
      </w:r>
    </w:p>
    <w:p w:rsidR="00000000" w:rsidDel="00000000" w:rsidP="00000000" w:rsidRDefault="00000000" w:rsidRPr="00000000" w14:paraId="00000010">
      <w:pPr>
        <w:numPr>
          <w:ilvl w:val="0"/>
          <w:numId w:val="1"/>
        </w:numPr>
        <w:tabs>
          <w:tab w:val="left" w:leader="none" w:pos="1170"/>
          <w:tab w:val="left" w:leader="none" w:pos="1260"/>
        </w:tabs>
        <w:spacing w:after="0" w:line="276" w:lineRule="auto"/>
        <w:ind w:left="720" w:firstLine="360"/>
        <w:jc w:val="both"/>
        <w:rPr/>
      </w:pPr>
      <w:r w:rsidDel="00000000" w:rsidR="00000000" w:rsidRPr="00000000">
        <w:rPr>
          <w:rFonts w:ascii="Times New Roman" w:cs="Times New Roman" w:eastAsia="Times New Roman" w:hAnsi="Times New Roman"/>
          <w:rtl w:val="0"/>
        </w:rPr>
        <w:t xml:space="preserve">2–3 iulie 2026: Vizualizarea lucrărilor scrise și depunerea contestațiilor</w:t>
      </w:r>
    </w:p>
    <w:p w:rsidR="00000000" w:rsidDel="00000000" w:rsidP="00000000" w:rsidRDefault="00000000" w:rsidRPr="00000000" w14:paraId="00000011">
      <w:pPr>
        <w:numPr>
          <w:ilvl w:val="0"/>
          <w:numId w:val="1"/>
        </w:numPr>
        <w:tabs>
          <w:tab w:val="left" w:leader="none" w:pos="1170"/>
          <w:tab w:val="left" w:leader="none" w:pos="1260"/>
        </w:tabs>
        <w:spacing w:after="0" w:line="276" w:lineRule="auto"/>
        <w:ind w:left="720" w:firstLine="360"/>
        <w:jc w:val="both"/>
        <w:rPr/>
      </w:pPr>
      <w:r w:rsidDel="00000000" w:rsidR="00000000" w:rsidRPr="00000000">
        <w:rPr>
          <w:rFonts w:ascii="Times New Roman" w:cs="Times New Roman" w:eastAsia="Times New Roman" w:hAnsi="Times New Roman"/>
          <w:rtl w:val="0"/>
        </w:rPr>
        <w:t xml:space="preserve">4–7 iulie 2026: Soluționarea contestațiilor</w:t>
      </w:r>
    </w:p>
    <w:p w:rsidR="00000000" w:rsidDel="00000000" w:rsidP="00000000" w:rsidRDefault="00000000" w:rsidRPr="00000000" w14:paraId="00000012">
      <w:pPr>
        <w:numPr>
          <w:ilvl w:val="0"/>
          <w:numId w:val="1"/>
        </w:numPr>
        <w:tabs>
          <w:tab w:val="left" w:leader="none" w:pos="1170"/>
          <w:tab w:val="left" w:leader="none" w:pos="1260"/>
        </w:tabs>
        <w:spacing w:after="0" w:line="276" w:lineRule="auto"/>
        <w:ind w:left="720" w:firstLine="360"/>
        <w:jc w:val="both"/>
        <w:rPr/>
      </w:pPr>
      <w:r w:rsidDel="00000000" w:rsidR="00000000" w:rsidRPr="00000000">
        <w:rPr>
          <w:rFonts w:ascii="Times New Roman" w:cs="Times New Roman" w:eastAsia="Times New Roman" w:hAnsi="Times New Roman"/>
          <w:rtl w:val="0"/>
        </w:rPr>
        <w:t xml:space="preserve">8 iulie 2026: Afișarea rezultatelor finale după soluționarea contestațiilor.</w:t>
      </w:r>
    </w:p>
    <w:p w:rsidR="00000000" w:rsidDel="00000000" w:rsidP="00000000" w:rsidRDefault="00000000" w:rsidRPr="00000000" w14:paraId="00000013">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Mulțumim tuturor elevilor, profesorilor și personalului implicat pentru buna desfășurare a simulării examenului de Evaluare Națională!</w:t>
      </w:r>
    </w:p>
    <w:p w:rsidR="00000000" w:rsidDel="00000000" w:rsidP="00000000" w:rsidRDefault="00000000" w:rsidRPr="00000000" w14:paraId="00000014">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Președinte Comisie județeană de organizare a examenului de Evaluare Națională</w:t>
      </w:r>
    </w:p>
    <w:p w:rsidR="00000000" w:rsidDel="00000000" w:rsidP="00000000" w:rsidRDefault="00000000" w:rsidRPr="00000000" w14:paraId="0000001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Inspector școlar general,</w:t>
      </w:r>
    </w:p>
    <w:p w:rsidR="00000000" w:rsidDel="00000000" w:rsidP="00000000" w:rsidRDefault="00000000" w:rsidRPr="00000000" w14:paraId="0000001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dr. Livia – Silvia MARCU</w:t>
      </w:r>
    </w:p>
    <w:p w:rsidR="00000000" w:rsidDel="00000000" w:rsidP="00000000" w:rsidRDefault="00000000" w:rsidRPr="00000000" w14:paraId="0000001A">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Vicepreședinte Comisie județeană de organizare a examenului de Evaluare Națională</w:t>
      </w:r>
    </w:p>
    <w:p w:rsidR="00000000" w:rsidDel="00000000" w:rsidP="00000000" w:rsidRDefault="00000000" w:rsidRPr="00000000" w14:paraId="0000002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Inspector școlar,</w:t>
      </w:r>
    </w:p>
    <w:p w:rsidR="00000000" w:rsidDel="00000000" w:rsidP="00000000" w:rsidRDefault="00000000" w:rsidRPr="00000000" w14:paraId="0000002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Eleonora DĂRMĂNESCU</w:t>
      </w:r>
    </w:p>
    <w:sectPr>
      <w:headerReference r:id="rId6" w:type="default"/>
      <w:pgSz w:h="15840" w:w="12240" w:orient="portrait"/>
      <w:pgMar w:bottom="540" w:top="1440" w:left="1440" w:right="9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
      <w:tblW w:w="10921.0" w:type="dxa"/>
      <w:jc w:val="center"/>
      <w:tblLayout w:type="fixed"/>
      <w:tblLook w:val="0400"/>
    </w:tblPr>
    <w:tblGrid>
      <w:gridCol w:w="2316"/>
      <w:gridCol w:w="4352"/>
      <w:gridCol w:w="1417"/>
      <w:gridCol w:w="2836"/>
      <w:tblGridChange w:id="0">
        <w:tblGrid>
          <w:gridCol w:w="2316"/>
          <w:gridCol w:w="4352"/>
          <w:gridCol w:w="1417"/>
          <w:gridCol w:w="2836"/>
        </w:tblGrid>
      </w:tblGridChange>
    </w:tblGrid>
    <w:tr>
      <w:trPr>
        <w:cantSplit w:val="0"/>
        <w:tblHeader w:val="0"/>
      </w:trPr>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2f5496"/>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323975" cy="716915"/>
                <wp:effectExtent b="0" l="0" r="0" t="0"/>
                <wp:docPr id="1" name="image1.png"/>
                <a:graphic>
                  <a:graphicData uri="http://schemas.openxmlformats.org/drawingml/2006/picture">
                    <pic:pic>
                      <pic:nvPicPr>
                        <pic:cNvPr id="0" name="image1.png"/>
                        <pic:cNvPicPr preferRelativeResize="0"/>
                      </pic:nvPicPr>
                      <pic:blipFill>
                        <a:blip r:embed="rId1"/>
                        <a:srcRect b="11053" l="0" r="0" t="12335"/>
                        <a:stretch>
                          <a:fillRect/>
                        </a:stretch>
                      </pic:blipFill>
                      <pic:spPr>
                        <a:xfrm>
                          <a:off x="0" y="0"/>
                          <a:ext cx="1323975" cy="71691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24">
          <w:pPr>
            <w:spacing w:after="0" w:line="240" w:lineRule="auto"/>
            <w:rPr>
              <w:rFonts w:ascii="Calibri" w:cs="Calibri" w:eastAsia="Calibri" w:hAnsi="Calibri"/>
              <w:color w:val="2f5496"/>
              <w:sz w:val="20"/>
              <w:szCs w:val="20"/>
            </w:rPr>
          </w:pPr>
          <w:r w:rsidDel="00000000" w:rsidR="00000000" w:rsidRPr="00000000">
            <w:rPr>
              <w:rFonts w:ascii="Calibri" w:cs="Calibri" w:eastAsia="Calibri" w:hAnsi="Calibri"/>
              <w:color w:val="2f5496"/>
              <w:sz w:val="20"/>
              <w:szCs w:val="20"/>
              <w:rtl w:val="0"/>
            </w:rPr>
            <w:t xml:space="preserve">INSPECTORATUL ȘCOLAR</w:t>
          </w:r>
        </w:p>
        <w:p w:rsidR="00000000" w:rsidDel="00000000" w:rsidP="00000000" w:rsidRDefault="00000000" w:rsidRPr="00000000" w14:paraId="00000025">
          <w:pPr>
            <w:spacing w:after="0" w:line="240" w:lineRule="auto"/>
            <w:rPr>
              <w:color w:val="2f5496"/>
              <w:sz w:val="20"/>
              <w:szCs w:val="20"/>
            </w:rPr>
          </w:pPr>
          <w:r w:rsidDel="00000000" w:rsidR="00000000" w:rsidRPr="00000000">
            <w:rPr>
              <w:rFonts w:ascii="Calibri" w:cs="Calibri" w:eastAsia="Calibri" w:hAnsi="Calibri"/>
              <w:color w:val="2f5496"/>
              <w:sz w:val="20"/>
              <w:szCs w:val="20"/>
              <w:rtl w:val="0"/>
            </w:rPr>
            <w:t xml:space="preserve">JUDEȚEAN VRANCEA</w:t>
          </w:r>
          <w:r w:rsidDel="00000000" w:rsidR="00000000" w:rsidRPr="00000000">
            <w:rPr>
              <w:rtl w:val="0"/>
            </w:rPr>
          </w:r>
        </w:p>
      </w:tc>
      <w:tc>
        <w:tcP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2f5496"/>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716915" cy="716915"/>
                <wp:effectExtent b="0" l="0" r="0" t="0"/>
                <wp:docPr descr="Ministerul Educației (România) - Wikipedia" id="2" name="image2.png"/>
                <a:graphic>
                  <a:graphicData uri="http://schemas.openxmlformats.org/drawingml/2006/picture">
                    <pic:pic>
                      <pic:nvPicPr>
                        <pic:cNvPr descr="Ministerul Educației (România) - Wikipedia" id="0" name="image2.png"/>
                        <pic:cNvPicPr preferRelativeResize="0"/>
                      </pic:nvPicPr>
                      <pic:blipFill>
                        <a:blip r:embed="rId2"/>
                        <a:srcRect b="0" l="0" r="0" t="0"/>
                        <a:stretch>
                          <a:fillRect/>
                        </a:stretch>
                      </pic:blipFill>
                      <pic:spPr>
                        <a:xfrm>
                          <a:off x="0" y="0"/>
                          <a:ext cx="716915" cy="71691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2f5496"/>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20"/>
              <w:szCs w:val="20"/>
              <w:u w:val="none"/>
              <w:shd w:fill="auto" w:val="clear"/>
              <w:vertAlign w:val="baseline"/>
              <w:rtl w:val="0"/>
            </w:rPr>
            <w:t xml:space="preserve">MINISTERUL EDUCAȚIEI ȘI CERCETĂRII</w:t>
          </w:r>
        </w:p>
      </w:tc>
    </w:tr>
    <w:tr>
      <w:trPr>
        <w:cantSplit w:val="0"/>
        <w:tblHeader w:val="0"/>
      </w:trPr>
      <w:tc>
        <w:tcPr>
          <w:gridSpan w:val="2"/>
          <w:tcBorders>
            <w:bottom w:color="2f5496" w:space="0" w:sz="24" w:val="single"/>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2f5496"/>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24"/>
              <w:szCs w:val="24"/>
              <w:u w:val="none"/>
              <w:shd w:fill="auto" w:val="clear"/>
              <w:vertAlign w:val="baseline"/>
              <w:rtl w:val="0"/>
            </w:rPr>
            <w:t xml:space="preserve">Focșani, Str. Dornei, nr. 5, tel. 0237214141, fax 0237214499</w:t>
          </w:r>
        </w:p>
      </w:tc>
      <w:tc>
        <w:tcPr>
          <w:tcBorders>
            <w:bottom w:color="2f5496" w:space="0" w:sz="24" w:val="single"/>
          </w:tcBorders>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2f5496"/>
              <w:sz w:val="24"/>
              <w:szCs w:val="24"/>
              <w:u w:val="none"/>
              <w:shd w:fill="auto" w:val="clear"/>
              <w:vertAlign w:val="baseline"/>
            </w:rPr>
          </w:pPr>
          <w:r w:rsidDel="00000000" w:rsidR="00000000" w:rsidRPr="00000000">
            <w:rPr>
              <w:rtl w:val="0"/>
            </w:rPr>
          </w:r>
        </w:p>
      </w:tc>
      <w:tc>
        <w:tcPr>
          <w:tcBorders>
            <w:bottom w:color="2f5496" w:space="0" w:sz="24" w:val="single"/>
          </w:tcBorders>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2f5496"/>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4"/>
        <w:szCs w:val="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o"/>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